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9"/>
        <w:rPr>
          <w:rFonts w:ascii="Times New Roman"/>
          <w:sz w:val="26"/>
        </w:rPr>
      </w:pPr>
    </w:p>
    <w:p>
      <w:pPr>
        <w:pStyle w:val="Heading1"/>
        <w:spacing w:line="230" w:lineRule="exact"/>
        <w:ind w:left="0" w:right="193"/>
        <w:jc w:val="center"/>
      </w:pPr>
      <w:r>
        <w:rPr>
          <w:color w:val="86A740"/>
        </w:rPr>
        <w:t>Professional</w:t>
      </w:r>
      <w:r>
        <w:rPr>
          <w:color w:val="86A740"/>
          <w:spacing w:val="28"/>
        </w:rPr>
        <w:t> </w:t>
      </w:r>
      <w:r>
        <w:rPr>
          <w:color w:val="86A740"/>
          <w:spacing w:val="-2"/>
        </w:rPr>
        <w:t>Experience</w:t>
      </w:r>
    </w:p>
    <w:p>
      <w:pPr>
        <w:spacing w:after="0" w:line="230" w:lineRule="exact"/>
        <w:jc w:val="center"/>
        <w:sectPr>
          <w:type w:val="continuous"/>
          <w:pgSz w:w="11920" w:h="16860"/>
          <w:pgMar w:top="0" w:bottom="0" w:left="120" w:right="140"/>
        </w:sectPr>
      </w:pPr>
    </w:p>
    <w:p>
      <w:pPr>
        <w:pStyle w:val="Title"/>
      </w:pPr>
      <w:r>
        <w:rPr>
          <w:color w:val="86A740"/>
          <w:spacing w:val="-6"/>
        </w:rPr>
        <w:t>Chris</w:t>
      </w:r>
      <w:r>
        <w:rPr>
          <w:color w:val="86A740"/>
          <w:spacing w:val="-17"/>
        </w:rPr>
        <w:t> </w:t>
      </w:r>
      <w:r>
        <w:rPr>
          <w:color w:val="86A740"/>
          <w:spacing w:val="-2"/>
        </w:rPr>
        <w:t>Jackson</w:t>
      </w:r>
    </w:p>
    <w:p>
      <w:pPr>
        <w:spacing w:before="128"/>
        <w:ind w:left="99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86A740"/>
          <w:sz w:val="23"/>
        </w:rPr>
        <w:t>Project </w:t>
      </w:r>
      <w:r>
        <w:rPr>
          <w:rFonts w:ascii="Arial"/>
          <w:b/>
          <w:color w:val="86A740"/>
          <w:spacing w:val="-2"/>
          <w:sz w:val="23"/>
        </w:rPr>
        <w:t>Manager</w:t>
      </w:r>
    </w:p>
    <w:p>
      <w:pPr>
        <w:pStyle w:val="BodyText"/>
        <w:spacing w:line="235" w:lineRule="auto" w:before="136"/>
        <w:ind w:left="108"/>
      </w:pPr>
      <w:r>
        <w:rPr/>
        <w:t>Austin, TX 78704 </w:t>
      </w:r>
      <w:hyperlink r:id="rId5">
        <w:r>
          <w:rPr>
            <w:spacing w:val="-2"/>
          </w:rPr>
          <w:t>chris.jackson@email.com</w:t>
        </w:r>
      </w:hyperlink>
    </w:p>
    <w:p>
      <w:pPr>
        <w:pStyle w:val="BodyText"/>
        <w:spacing w:line="228" w:lineRule="exact"/>
        <w:ind w:left="108"/>
      </w:pPr>
      <w:r>
        <w:rPr>
          <w:spacing w:val="-4"/>
        </w:rPr>
        <w:t>(512)</w:t>
      </w:r>
      <w:r>
        <w:rPr>
          <w:spacing w:val="-7"/>
        </w:rPr>
        <w:t> </w:t>
      </w:r>
      <w:r>
        <w:rPr>
          <w:spacing w:val="-4"/>
        </w:rPr>
        <w:t>555-7720</w:t>
      </w:r>
    </w:p>
    <w:p>
      <w:pPr>
        <w:pStyle w:val="BodyText"/>
        <w:spacing w:line="230" w:lineRule="exact"/>
        <w:ind w:left="108"/>
      </w:pPr>
      <w:r>
        <w:rPr>
          <w:w w:val="95"/>
        </w:rPr>
        <w:t>LinkedIn</w:t>
      </w:r>
      <w:r>
        <w:rPr>
          <w:spacing w:val="8"/>
        </w:rPr>
        <w:t> </w:t>
      </w:r>
      <w:r>
        <w:rPr>
          <w:w w:val="85"/>
        </w:rPr>
        <w:t>|</w:t>
      </w:r>
      <w:r>
        <w:rPr>
          <w:spacing w:val="8"/>
        </w:rPr>
        <w:t> </w:t>
      </w:r>
      <w:r>
        <w:rPr>
          <w:spacing w:val="-2"/>
          <w:w w:val="95"/>
        </w:rPr>
        <w:t>Portfolio:</w:t>
      </w:r>
    </w:p>
    <w:p>
      <w:pPr>
        <w:pStyle w:val="BodyText"/>
        <w:spacing w:before="33"/>
      </w:pPr>
    </w:p>
    <w:p>
      <w:pPr>
        <w:pStyle w:val="BodyText"/>
        <w:spacing w:line="235" w:lineRule="auto" w:before="1"/>
        <w:ind w:left="311" w:right="91"/>
      </w:pPr>
      <w:r>
        <w:rPr/>
        <w:t>Project manager</w:t>
      </w:r>
      <w:r>
        <w:rPr>
          <w:spacing w:val="-3"/>
        </w:rPr>
        <w:t> </w:t>
      </w:r>
      <w:r>
        <w:rPr/>
        <w:t>with over ten </w:t>
      </w:r>
      <w:r>
        <w:rPr/>
        <w:t>years of experience delivering enterprise software and infrastructure</w:t>
      </w:r>
      <w:r>
        <w:rPr>
          <w:spacing w:val="40"/>
        </w:rPr>
        <w:t> </w:t>
      </w:r>
      <w:r>
        <w:rPr/>
        <w:t>solutions. Skilled in Agile workflows, budget forecasting, and risk management. Known for driving projects that consistently finish ahead of schedule and under</w:t>
      </w:r>
      <w:r>
        <w:rPr>
          <w:spacing w:val="80"/>
        </w:rPr>
        <w:t> </w:t>
      </w:r>
      <w:r>
        <w:rPr>
          <w:spacing w:val="-2"/>
        </w:rPr>
        <w:t>budget.</w:t>
      </w:r>
    </w:p>
    <w:p>
      <w:pPr>
        <w:pStyle w:val="BodyText"/>
        <w:spacing w:before="222"/>
      </w:pPr>
    </w:p>
    <w:p>
      <w:pPr>
        <w:pStyle w:val="Heading1"/>
      </w:pPr>
      <w:r>
        <w:rPr>
          <w:color w:val="86A740"/>
        </w:rPr>
        <w:t>Key</w:t>
      </w:r>
      <w:r>
        <w:rPr>
          <w:color w:val="86A740"/>
          <w:spacing w:val="-11"/>
        </w:rPr>
        <w:t> </w:t>
      </w:r>
      <w:r>
        <w:rPr>
          <w:color w:val="86A740"/>
          <w:spacing w:val="-2"/>
        </w:rPr>
        <w:t>Skills</w:t>
      </w:r>
    </w:p>
    <w:p>
      <w:pPr>
        <w:pStyle w:val="BodyText"/>
        <w:spacing w:before="264"/>
        <w:ind w:left="108"/>
      </w:pPr>
      <w:r>
        <w:rPr/>
        <w:t>Agile</w:t>
      </w:r>
      <w:r>
        <w:rPr>
          <w:spacing w:val="5"/>
        </w:rPr>
        <w:t> </w:t>
      </w:r>
      <w:r>
        <w:rPr/>
        <w:t>project</w:t>
      </w:r>
      <w:r>
        <w:rPr>
          <w:spacing w:val="5"/>
        </w:rPr>
        <w:t> </w:t>
      </w:r>
      <w:r>
        <w:rPr>
          <w:spacing w:val="-2"/>
        </w:rPr>
        <w:t>management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0" w:lineRule="exact"/>
        <w:ind w:left="108"/>
      </w:pPr>
      <w:r>
        <w:rPr>
          <w:w w:val="105"/>
        </w:rPr>
        <w:t>February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2018</w:t>
      </w:r>
    </w:p>
    <w:p>
      <w:pPr>
        <w:pStyle w:val="BodyText"/>
        <w:spacing w:line="230" w:lineRule="exact"/>
        <w:ind w:left="108"/>
      </w:pPr>
      <w:r>
        <w:rPr>
          <w:w w:val="110"/>
        </w:rPr>
        <w:t>-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Present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spacing w:line="230" w:lineRule="exact"/>
        <w:ind w:left="108"/>
      </w:pPr>
      <w:r>
        <w:rPr/>
        <w:t>July</w:t>
      </w:r>
      <w:r>
        <w:rPr>
          <w:spacing w:val="-6"/>
        </w:rPr>
        <w:t> </w:t>
      </w:r>
      <w:r>
        <w:rPr/>
        <w:t>2014</w:t>
      </w:r>
      <w:r>
        <w:rPr>
          <w:spacing w:val="1"/>
        </w:rPr>
        <w:t> </w:t>
      </w:r>
      <w:r>
        <w:rPr>
          <w:spacing w:val="-10"/>
        </w:rPr>
        <w:t>-</w:t>
      </w:r>
    </w:p>
    <w:p>
      <w:pPr>
        <w:pStyle w:val="BodyText"/>
        <w:spacing w:line="230" w:lineRule="exact"/>
        <w:ind w:left="108"/>
      </w:pPr>
      <w:r>
        <w:rPr>
          <w:spacing w:val="-2"/>
          <w:w w:val="105"/>
        </w:rPr>
        <w:t>January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2018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Heading1"/>
      </w:pPr>
      <w:r>
        <w:rPr>
          <w:color w:val="86A740"/>
          <w:spacing w:val="-2"/>
          <w:w w:val="105"/>
        </w:rPr>
        <w:t>Education</w:t>
      </w:r>
    </w:p>
    <w:p>
      <w:pPr>
        <w:pStyle w:val="Heading2"/>
        <w:spacing w:before="229"/>
      </w:pPr>
      <w:r>
        <w:rPr>
          <w:b w:val="0"/>
        </w:rPr>
        <w:br w:type="column"/>
      </w:r>
      <w:r>
        <w:rPr/>
        <w:t>Project </w:t>
      </w:r>
      <w:r>
        <w:rPr>
          <w:spacing w:val="-2"/>
        </w:rPr>
        <w:t>Manager</w:t>
      </w:r>
    </w:p>
    <w:p>
      <w:pPr>
        <w:spacing w:line="215" w:lineRule="exact" w:before="0"/>
        <w:ind w:left="108" w:right="0" w:firstLine="0"/>
        <w:jc w:val="left"/>
        <w:rPr>
          <w:i/>
          <w:sz w:val="20"/>
        </w:rPr>
      </w:pPr>
      <w:r>
        <w:rPr>
          <w:i/>
          <w:spacing w:val="-6"/>
          <w:sz w:val="20"/>
        </w:rPr>
        <w:t>Elevate</w:t>
      </w:r>
      <w:r>
        <w:rPr>
          <w:i/>
          <w:spacing w:val="-14"/>
          <w:sz w:val="20"/>
        </w:rPr>
        <w:t> </w:t>
      </w:r>
      <w:r>
        <w:rPr>
          <w:i/>
          <w:spacing w:val="-6"/>
          <w:sz w:val="20"/>
        </w:rPr>
        <w:t>Tech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|</w:t>
      </w:r>
      <w:r>
        <w:rPr>
          <w:i/>
          <w:spacing w:val="-13"/>
          <w:sz w:val="20"/>
        </w:rPr>
        <w:t> </w:t>
      </w:r>
      <w:r>
        <w:rPr>
          <w:i/>
          <w:spacing w:val="-6"/>
          <w:sz w:val="20"/>
        </w:rPr>
        <w:t>Austin,</w:t>
      </w:r>
      <w:r>
        <w:rPr>
          <w:i/>
          <w:spacing w:val="-13"/>
          <w:sz w:val="20"/>
        </w:rPr>
        <w:t> </w:t>
      </w:r>
      <w:r>
        <w:rPr>
          <w:i/>
          <w:spacing w:val="-6"/>
          <w:sz w:val="20"/>
        </w:rPr>
        <w:t>TX</w:t>
      </w:r>
    </w:p>
    <w:p>
      <w:pPr>
        <w:pStyle w:val="BodyText"/>
        <w:spacing w:line="230" w:lineRule="exact" w:before="60"/>
        <w:ind w:left="124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68"/>
        </w:rPr>
        <w:t>  </w:t>
      </w:r>
      <w:r>
        <w:rPr/>
        <w:t>Launched</w:t>
      </w:r>
      <w:r>
        <w:rPr>
          <w:spacing w:val="29"/>
        </w:rPr>
        <w:t> </w:t>
      </w:r>
      <w:r>
        <w:rPr/>
        <w:t>six</w:t>
      </w:r>
      <w:r>
        <w:rPr>
          <w:spacing w:val="29"/>
        </w:rPr>
        <w:t> </w:t>
      </w:r>
      <w:r>
        <w:rPr/>
        <w:t>cross-functional</w:t>
      </w:r>
      <w:r>
        <w:rPr>
          <w:spacing w:val="18"/>
        </w:rPr>
        <w:t> </w:t>
      </w:r>
      <w:r>
        <w:rPr/>
        <w:t>product</w:t>
      </w:r>
      <w:r>
        <w:rPr>
          <w:spacing w:val="29"/>
        </w:rPr>
        <w:t> </w:t>
      </w:r>
      <w:r>
        <w:rPr/>
        <w:t>initiatives</w:t>
      </w:r>
      <w:r>
        <w:rPr>
          <w:spacing w:val="20"/>
        </w:rPr>
        <w:t> </w:t>
      </w:r>
      <w:r>
        <w:rPr/>
        <w:t>valued</w:t>
      </w:r>
      <w:r>
        <w:rPr>
          <w:spacing w:val="29"/>
        </w:rPr>
        <w:t> </w:t>
      </w:r>
      <w:r>
        <w:rPr/>
        <w:t>at</w:t>
      </w:r>
    </w:p>
    <w:p>
      <w:pPr>
        <w:pStyle w:val="BodyText"/>
        <w:spacing w:line="230" w:lineRule="exact"/>
        <w:ind w:left="311"/>
      </w:pPr>
      <w:r>
        <w:rPr>
          <w:w w:val="105"/>
        </w:rPr>
        <w:t>$2.3M,</w:t>
      </w:r>
      <w:r>
        <w:rPr>
          <w:spacing w:val="-12"/>
          <w:w w:val="105"/>
        </w:rPr>
        <w:t> </w:t>
      </w:r>
      <w:r>
        <w:rPr>
          <w:w w:val="105"/>
        </w:rPr>
        <w:t>delivering</w:t>
      </w:r>
      <w:r>
        <w:rPr>
          <w:spacing w:val="-11"/>
          <w:w w:val="105"/>
        </w:rPr>
        <w:t> </w:t>
      </w:r>
      <w:r>
        <w:rPr>
          <w:w w:val="105"/>
        </w:rPr>
        <w:t>94%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milestones</w:t>
      </w:r>
      <w:r>
        <w:rPr>
          <w:spacing w:val="-12"/>
          <w:w w:val="105"/>
        </w:rPr>
        <w:t> </w:t>
      </w:r>
      <w:r>
        <w:rPr>
          <w:w w:val="105"/>
        </w:rPr>
        <w:t>ahead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deadlines</w:t>
      </w:r>
    </w:p>
    <w:p>
      <w:pPr>
        <w:pStyle w:val="BodyText"/>
        <w:spacing w:line="235" w:lineRule="auto" w:before="63"/>
        <w:ind w:left="311" w:right="165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Reduced project overages by 41% through resource </w:t>
      </w:r>
      <w:r>
        <w:rPr/>
        <w:t>tracking, vendor contract renegotiation, and phase-gate </w:t>
      </w:r>
      <w:r>
        <w:rPr>
          <w:spacing w:val="-2"/>
          <w:w w:val="105"/>
        </w:rPr>
        <w:t>controls</w:t>
      </w:r>
    </w:p>
    <w:p>
      <w:pPr>
        <w:pStyle w:val="BodyText"/>
        <w:spacing w:line="235" w:lineRule="auto" w:before="66"/>
        <w:ind w:left="311" w:right="165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68"/>
          <w:w w:val="105"/>
        </w:rPr>
        <w:t> </w:t>
      </w:r>
      <w:r>
        <w:rPr>
          <w:w w:val="105"/>
        </w:rPr>
        <w:t>Conducted</w:t>
      </w:r>
      <w:r>
        <w:rPr>
          <w:spacing w:val="-16"/>
          <w:w w:val="105"/>
        </w:rPr>
        <w:t> </w:t>
      </w:r>
      <w:r>
        <w:rPr>
          <w:w w:val="105"/>
        </w:rPr>
        <w:t>executive</w:t>
      </w:r>
      <w:r>
        <w:rPr>
          <w:spacing w:val="-16"/>
          <w:w w:val="105"/>
        </w:rPr>
        <w:t> </w:t>
      </w:r>
      <w:r>
        <w:rPr>
          <w:w w:val="105"/>
        </w:rPr>
        <w:t>briefings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stakeholder</w:t>
      </w:r>
      <w:r>
        <w:rPr>
          <w:spacing w:val="-17"/>
          <w:w w:val="105"/>
        </w:rPr>
        <w:t> </w:t>
      </w:r>
      <w:r>
        <w:rPr>
          <w:w w:val="105"/>
        </w:rPr>
        <w:t>reports, increasing sponsor satisfaction scores by 36% over two </w:t>
      </w:r>
      <w:r>
        <w:rPr>
          <w:spacing w:val="-2"/>
          <w:w w:val="105"/>
        </w:rPr>
        <w:t>years</w:t>
      </w:r>
    </w:p>
    <w:p>
      <w:pPr>
        <w:pStyle w:val="Heading2"/>
        <w:spacing w:before="186"/>
      </w:pPr>
      <w:r>
        <w:rPr/>
        <w:t>Project </w:t>
      </w:r>
      <w:r>
        <w:rPr>
          <w:spacing w:val="-2"/>
        </w:rPr>
        <w:t>Coordinator</w:t>
      </w:r>
    </w:p>
    <w:p>
      <w:pPr>
        <w:spacing w:line="215" w:lineRule="exact" w:before="0"/>
        <w:ind w:left="108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Vega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Systems</w:t>
      </w:r>
      <w:r>
        <w:rPr>
          <w:i/>
          <w:spacing w:val="-3"/>
          <w:sz w:val="20"/>
        </w:rPr>
        <w:t> </w:t>
      </w:r>
      <w:r>
        <w:rPr>
          <w:i/>
          <w:spacing w:val="-2"/>
          <w:w w:val="95"/>
          <w:sz w:val="20"/>
        </w:rPr>
        <w:t>|</w:t>
      </w:r>
      <w:r>
        <w:rPr>
          <w:i/>
          <w:spacing w:val="-7"/>
          <w:w w:val="95"/>
          <w:sz w:val="20"/>
        </w:rPr>
        <w:t> </w:t>
      </w:r>
      <w:r>
        <w:rPr>
          <w:i/>
          <w:spacing w:val="-2"/>
          <w:sz w:val="20"/>
        </w:rPr>
        <w:t>Austin,</w:t>
      </w:r>
      <w:r>
        <w:rPr>
          <w:i/>
          <w:spacing w:val="-10"/>
          <w:sz w:val="20"/>
        </w:rPr>
        <w:t> </w:t>
      </w:r>
      <w:r>
        <w:rPr>
          <w:i/>
          <w:spacing w:val="-5"/>
          <w:sz w:val="20"/>
        </w:rPr>
        <w:t>TX</w:t>
      </w:r>
    </w:p>
    <w:p>
      <w:pPr>
        <w:pStyle w:val="BodyText"/>
        <w:spacing w:line="235" w:lineRule="auto" w:before="64"/>
        <w:ind w:left="31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Tracked</w:t>
      </w:r>
      <w:r>
        <w:rPr>
          <w:spacing w:val="-5"/>
          <w:w w:val="105"/>
        </w:rPr>
        <w:t> </w:t>
      </w:r>
      <w:r>
        <w:rPr>
          <w:w w:val="105"/>
        </w:rPr>
        <w:t>schedules,</w:t>
      </w:r>
      <w:r>
        <w:rPr>
          <w:spacing w:val="-5"/>
          <w:w w:val="105"/>
        </w:rPr>
        <w:t> </w:t>
      </w:r>
      <w:r>
        <w:rPr>
          <w:w w:val="105"/>
        </w:rPr>
        <w:t>budgets,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dependencies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seven</w:t>
      </w:r>
      <w:r>
        <w:rPr>
          <w:spacing w:val="-5"/>
          <w:w w:val="105"/>
        </w:rPr>
        <w:t> </w:t>
      </w:r>
      <w:r>
        <w:rPr>
          <w:w w:val="105"/>
        </w:rPr>
        <w:t>IT rollouts, maintaining a 96% on-time completion rate</w:t>
      </w:r>
    </w:p>
    <w:p>
      <w:pPr>
        <w:pStyle w:val="BodyText"/>
        <w:spacing w:line="235" w:lineRule="auto" w:before="65"/>
        <w:ind w:left="31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Developed</w:t>
      </w:r>
      <w:r>
        <w:rPr>
          <w:spacing w:val="-9"/>
          <w:w w:val="105"/>
        </w:rPr>
        <w:t> </w:t>
      </w:r>
      <w:r>
        <w:rPr>
          <w:w w:val="105"/>
        </w:rPr>
        <w:t>standardized</w:t>
      </w:r>
      <w:r>
        <w:rPr>
          <w:spacing w:val="-9"/>
          <w:w w:val="105"/>
        </w:rPr>
        <w:t> </w:t>
      </w:r>
      <w:r>
        <w:rPr>
          <w:w w:val="105"/>
        </w:rPr>
        <w:t>risk</w:t>
      </w:r>
      <w:r>
        <w:rPr>
          <w:spacing w:val="-9"/>
          <w:w w:val="105"/>
        </w:rPr>
        <w:t> </w:t>
      </w:r>
      <w:r>
        <w:rPr>
          <w:w w:val="105"/>
        </w:rPr>
        <w:t>logs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escalation</w:t>
      </w:r>
      <w:r>
        <w:rPr>
          <w:spacing w:val="-9"/>
          <w:w w:val="105"/>
        </w:rPr>
        <w:t> </w:t>
      </w:r>
      <w:r>
        <w:rPr>
          <w:w w:val="105"/>
        </w:rPr>
        <w:t>paths, cutting issue resolution time by 47% across teams</w:t>
      </w:r>
    </w:p>
    <w:p>
      <w:pPr>
        <w:pStyle w:val="BodyText"/>
        <w:spacing w:line="230" w:lineRule="exact" w:before="61"/>
        <w:ind w:left="124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</w:rPr>
        <w:t> </w:t>
      </w:r>
      <w:r>
        <w:rPr>
          <w:w w:val="105"/>
        </w:rPr>
        <w:t>Supported vendor onboarding and procurement, saving</w:t>
      </w:r>
    </w:p>
    <w:p>
      <w:pPr>
        <w:pStyle w:val="BodyText"/>
        <w:spacing w:line="230" w:lineRule="exact"/>
        <w:ind w:left="311"/>
      </w:pPr>
      <w:r>
        <w:rPr>
          <w:spacing w:val="-2"/>
          <w:w w:val="105"/>
        </w:rPr>
        <w:t>$180K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annually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identifying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lower-cost third-party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options</w:t>
      </w:r>
    </w:p>
    <w:p>
      <w:pPr>
        <w:spacing w:after="0" w:line="230" w:lineRule="exact"/>
        <w:sectPr>
          <w:type w:val="continuous"/>
          <w:pgSz w:w="11920" w:h="16860"/>
          <w:pgMar w:top="0" w:bottom="0" w:left="120" w:right="140"/>
          <w:cols w:num="3" w:equalWidth="0">
            <w:col w:w="3708" w:space="364"/>
            <w:col w:w="1473" w:space="72"/>
            <w:col w:w="6043"/>
          </w:cols>
        </w:sectPr>
      </w:pPr>
    </w:p>
    <w:p>
      <w:pPr>
        <w:pStyle w:val="BodyText"/>
        <w:spacing w:line="472" w:lineRule="auto" w:before="49"/>
        <w:ind w:left="108" w:right="37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90800" cy="107061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90800" cy="10706100"/>
                          <a:chExt cx="2590800" cy="10706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590800" cy="1070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 h="10706100">
                                <a:moveTo>
                                  <a:pt x="2590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9850"/>
                                </a:lnTo>
                                <a:lnTo>
                                  <a:pt x="0" y="8096250"/>
                                </a:lnTo>
                                <a:lnTo>
                                  <a:pt x="0" y="10706087"/>
                                </a:lnTo>
                                <a:lnTo>
                                  <a:pt x="2590787" y="10706087"/>
                                </a:lnTo>
                                <a:lnTo>
                                  <a:pt x="2590787" y="8096250"/>
                                </a:lnTo>
                                <a:lnTo>
                                  <a:pt x="2590787" y="2609850"/>
                                </a:lnTo>
                                <a:lnTo>
                                  <a:pt x="2590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5002" y="1878603"/>
                            <a:ext cx="48895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402080">
                                <a:moveTo>
                                  <a:pt x="48334" y="1401694"/>
                                </a:moveTo>
                                <a:lnTo>
                                  <a:pt x="0" y="1401694"/>
                                </a:lnTo>
                                <a:lnTo>
                                  <a:pt x="0" y="0"/>
                                </a:lnTo>
                                <a:lnTo>
                                  <a:pt x="48334" y="0"/>
                                </a:lnTo>
                                <a:lnTo>
                                  <a:pt x="48334" y="140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9030" y="3816003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86A7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3058" y="3820031"/>
                            <a:ext cx="22802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285" h="40640">
                                <a:moveTo>
                                  <a:pt x="2279768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2279768" y="0"/>
                                </a:lnTo>
                                <a:lnTo>
                                  <a:pt x="2279768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9030" y="4106009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86A7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3058" y="4110037"/>
                            <a:ext cx="182118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40640">
                                <a:moveTo>
                                  <a:pt x="182059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820592" y="0"/>
                                </a:lnTo>
                                <a:lnTo>
                                  <a:pt x="182059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9030" y="4396015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86A7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3058" y="4400043"/>
                            <a:ext cx="13696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40640">
                                <a:moveTo>
                                  <a:pt x="136947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369472" y="0"/>
                                </a:lnTo>
                                <a:lnTo>
                                  <a:pt x="136947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9030" y="4686021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86A7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3058" y="4690049"/>
                            <a:ext cx="13696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40640">
                                <a:moveTo>
                                  <a:pt x="136947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369472" y="0"/>
                                </a:lnTo>
                                <a:lnTo>
                                  <a:pt x="136947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9030" y="4976027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86A7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3058" y="4980054"/>
                            <a:ext cx="13696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40640">
                                <a:moveTo>
                                  <a:pt x="136947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369472" y="0"/>
                                </a:lnTo>
                                <a:lnTo>
                                  <a:pt x="136947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9030" y="5266033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86A7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3058" y="5270060"/>
                            <a:ext cx="13696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40640">
                                <a:moveTo>
                                  <a:pt x="136947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369472" y="0"/>
                                </a:lnTo>
                                <a:lnTo>
                                  <a:pt x="136947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9030" y="5556038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86A7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3058" y="5560066"/>
                            <a:ext cx="910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 h="40640">
                                <a:moveTo>
                                  <a:pt x="910296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910296" y="0"/>
                                </a:lnTo>
                                <a:lnTo>
                                  <a:pt x="910296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02" y="565521"/>
                            <a:ext cx="435008" cy="435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5pt;width:204pt;height:843pt;mso-position-horizontal-relative:page;mso-position-vertical-relative:page;z-index:-15789568" id="docshapegroup1" coordorigin="0,0" coordsize="4080,16860">
                <v:shape style="position:absolute;left:0;top:0;width:4080;height:16860" id="docshape2" coordorigin="0,0" coordsize="4080,16860" path="m4080,0l0,0,0,4110,0,12750,0,16860,4080,16860,4080,12750,4080,4110,4080,0xe" filled="true" fillcolor="#f1f4f4" stroked="false">
                  <v:path arrowok="t"/>
                  <v:fill type="solid"/>
                </v:shape>
                <v:rect style="position:absolute;left:228;top:2958;width:77;height:2208" id="docshape3" filled="true" fillcolor="#86a740" stroked="false">
                  <v:fill type="solid"/>
                </v:rect>
                <v:rect style="position:absolute;left:234;top:6009;width:3603;height:64" id="docshape4" filled="false" stroked="true" strokeweight=".634309pt" strokecolor="#86a740">
                  <v:stroke dashstyle="solid"/>
                </v:rect>
                <v:rect style="position:absolute;left:241;top:6015;width:3591;height:64" id="docshape5" filled="true" fillcolor="#86a740" stroked="false">
                  <v:fill type="solid"/>
                </v:rect>
                <v:rect style="position:absolute;left:234;top:6466;width:3603;height:64" id="docshape6" filled="false" stroked="true" strokeweight=".634309pt" strokecolor="#86a740">
                  <v:stroke dashstyle="solid"/>
                </v:rect>
                <v:rect style="position:absolute;left:241;top:6472;width:2868;height:64" id="docshape7" filled="true" fillcolor="#86a740" stroked="false">
                  <v:fill type="solid"/>
                </v:rect>
                <v:rect style="position:absolute;left:234;top:6922;width:3603;height:64" id="docshape8" filled="false" stroked="true" strokeweight=".634309pt" strokecolor="#86a740">
                  <v:stroke dashstyle="solid"/>
                </v:rect>
                <v:rect style="position:absolute;left:241;top:6929;width:2157;height:64" id="docshape9" filled="true" fillcolor="#86a740" stroked="false">
                  <v:fill type="solid"/>
                </v:rect>
                <v:rect style="position:absolute;left:234;top:7379;width:3603;height:64" id="docshape10" filled="false" stroked="true" strokeweight=".634309pt" strokecolor="#86a740">
                  <v:stroke dashstyle="solid"/>
                </v:rect>
                <v:rect style="position:absolute;left:241;top:7385;width:2157;height:64" id="docshape11" filled="true" fillcolor="#86a740" stroked="false">
                  <v:fill type="solid"/>
                </v:rect>
                <v:rect style="position:absolute;left:234;top:7836;width:3603;height:64" id="docshape12" filled="false" stroked="true" strokeweight=".634309pt" strokecolor="#86a740">
                  <v:stroke dashstyle="solid"/>
                </v:rect>
                <v:rect style="position:absolute;left:241;top:7842;width:2157;height:64" id="docshape13" filled="true" fillcolor="#86a740" stroked="false">
                  <v:fill type="solid"/>
                </v:rect>
                <v:rect style="position:absolute;left:234;top:8292;width:3603;height:64" id="docshape14" filled="false" stroked="true" strokeweight=".634309pt" strokecolor="#86a740">
                  <v:stroke dashstyle="solid"/>
                </v:rect>
                <v:rect style="position:absolute;left:241;top:8299;width:2157;height:64" id="docshape15" filled="true" fillcolor="#86a740" stroked="false">
                  <v:fill type="solid"/>
                </v:rect>
                <v:rect style="position:absolute;left:234;top:8749;width:3603;height:64" id="docshape16" filled="false" stroked="true" strokeweight=".634309pt" strokecolor="#86a740">
                  <v:stroke dashstyle="solid"/>
                </v:rect>
                <v:rect style="position:absolute;left:241;top:8756;width:1434;height:64" id="docshape17" filled="true" fillcolor="#86a740" stroked="false">
                  <v:fill type="solid"/>
                </v:rect>
                <v:shape style="position:absolute;left:228;top:890;width:686;height:686" type="#_x0000_t75" id="docshape1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w:t>Budget </w:t>
      </w:r>
      <w:r>
        <w:rPr/>
        <w:t>tracking </w:t>
      </w:r>
      <w:r>
        <w:rPr>
          <w:spacing w:val="-4"/>
        </w:rPr>
        <w:t>Jira</w:t>
      </w:r>
    </w:p>
    <w:p>
      <w:pPr>
        <w:pStyle w:val="BodyText"/>
        <w:spacing w:line="472" w:lineRule="auto"/>
        <w:ind w:left="108" w:right="144"/>
      </w:pPr>
      <w:r>
        <w:rPr>
          <w:w w:val="105"/>
        </w:rPr>
        <w:t>Resource</w:t>
      </w:r>
      <w:r>
        <w:rPr>
          <w:spacing w:val="-16"/>
          <w:w w:val="105"/>
        </w:rPr>
        <w:t> </w:t>
      </w:r>
      <w:r>
        <w:rPr>
          <w:w w:val="105"/>
        </w:rPr>
        <w:t>allocation Risk</w:t>
      </w:r>
      <w:r>
        <w:rPr>
          <w:spacing w:val="-1"/>
          <w:w w:val="105"/>
        </w:rPr>
        <w:t> </w:t>
      </w:r>
      <w:r>
        <w:rPr>
          <w:w w:val="105"/>
        </w:rPr>
        <w:t>mitigation Sprint</w:t>
      </w:r>
      <w:r>
        <w:rPr>
          <w:spacing w:val="-1"/>
          <w:w w:val="105"/>
        </w:rPr>
        <w:t> </w:t>
      </w:r>
      <w:r>
        <w:rPr>
          <w:w w:val="105"/>
        </w:rPr>
        <w:t>planning</w:t>
      </w:r>
    </w:p>
    <w:p>
      <w:pPr>
        <w:pStyle w:val="BodyText"/>
        <w:spacing w:line="230" w:lineRule="exact"/>
        <w:ind w:left="108"/>
      </w:pPr>
      <w:r>
        <w:rPr>
          <w:w w:val="105"/>
        </w:rPr>
        <w:t>Stakeholder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reporting</w:t>
      </w:r>
    </w:p>
    <w:p>
      <w:pPr>
        <w:pStyle w:val="Heading2"/>
        <w:tabs>
          <w:tab w:pos="1652" w:val="left" w:leader="none"/>
        </w:tabs>
        <w:spacing w:line="206" w:lineRule="auto" w:before="189"/>
        <w:ind w:left="1652" w:right="846" w:hanging="1545"/>
      </w:pPr>
      <w:r>
        <w:rPr>
          <w:b w:val="0"/>
        </w:rPr>
        <w:br w:type="column"/>
      </w:r>
      <w:r>
        <w:rPr>
          <w:rFonts w:ascii="Trebuchet MS"/>
          <w:b w:val="0"/>
          <w:i/>
          <w:position w:val="3"/>
          <w:sz w:val="20"/>
        </w:rPr>
        <w:t>May</w:t>
      </w:r>
      <w:r>
        <w:rPr>
          <w:rFonts w:ascii="Trebuchet MS"/>
          <w:b w:val="0"/>
          <w:i/>
          <w:spacing w:val="-8"/>
          <w:position w:val="3"/>
          <w:sz w:val="20"/>
        </w:rPr>
        <w:t> </w:t>
      </w:r>
      <w:r>
        <w:rPr>
          <w:rFonts w:ascii="Trebuchet MS"/>
          <w:b w:val="0"/>
          <w:i/>
          <w:position w:val="3"/>
          <w:sz w:val="20"/>
        </w:rPr>
        <w:t>2014</w:t>
        <w:tab/>
      </w:r>
      <w:r>
        <w:rPr>
          <w:spacing w:val="-2"/>
        </w:rPr>
        <w:t>Bachelor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Business</w:t>
      </w:r>
      <w:r>
        <w:rPr>
          <w:spacing w:val="-14"/>
        </w:rPr>
        <w:t> </w:t>
      </w:r>
      <w:r>
        <w:rPr>
          <w:spacing w:val="-2"/>
        </w:rPr>
        <w:t>Administration</w:t>
      </w:r>
      <w:r>
        <w:rPr>
          <w:spacing w:val="-14"/>
        </w:rPr>
        <w:t> </w:t>
      </w:r>
      <w:r>
        <w:rPr>
          <w:spacing w:val="-2"/>
        </w:rPr>
        <w:t>(B.B.A.)</w:t>
      </w:r>
      <w:r>
        <w:rPr>
          <w:spacing w:val="-14"/>
        </w:rPr>
        <w:t> </w:t>
      </w:r>
      <w:r>
        <w:rPr>
          <w:spacing w:val="-2"/>
        </w:rPr>
        <w:t>in </w:t>
      </w:r>
      <w:r>
        <w:rPr>
          <w:spacing w:val="-2"/>
          <w:w w:val="105"/>
        </w:rPr>
        <w:t>Management</w:t>
      </w:r>
    </w:p>
    <w:p>
      <w:pPr>
        <w:pStyle w:val="BodyText"/>
        <w:spacing w:line="206" w:lineRule="exact"/>
        <w:ind w:left="1652"/>
      </w:pPr>
      <w:r>
        <w:rPr/>
        <w:t>University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Texas</w:t>
      </w:r>
      <w:r>
        <w:rPr>
          <w:spacing w:val="-6"/>
        </w:rPr>
        <w:t> </w:t>
      </w:r>
      <w:r>
        <w:rPr/>
        <w:t>at</w:t>
      </w:r>
      <w:r>
        <w:rPr>
          <w:spacing w:val="-12"/>
        </w:rPr>
        <w:t> </w:t>
      </w:r>
      <w:r>
        <w:rPr/>
        <w:t>Austin</w:t>
      </w:r>
      <w:r>
        <w:rPr>
          <w:spacing w:val="-6"/>
        </w:rPr>
        <w:t> </w:t>
      </w:r>
      <w:r>
        <w:rPr>
          <w:w w:val="85"/>
        </w:rPr>
        <w:t>|</w:t>
      </w:r>
      <w:r>
        <w:rPr>
          <w:spacing w:val="-4"/>
          <w:w w:val="85"/>
        </w:rPr>
        <w:t> </w:t>
      </w:r>
      <w:r>
        <w:rPr/>
        <w:t>Austin,</w:t>
      </w:r>
      <w:r>
        <w:rPr>
          <w:spacing w:val="-12"/>
        </w:rPr>
        <w:t> </w:t>
      </w:r>
      <w:r>
        <w:rPr>
          <w:spacing w:val="-5"/>
        </w:rPr>
        <w:t>TX</w:t>
      </w:r>
    </w:p>
    <w:p>
      <w:pPr>
        <w:pStyle w:val="BodyText"/>
        <w:spacing w:before="202"/>
      </w:pPr>
    </w:p>
    <w:p>
      <w:pPr>
        <w:pStyle w:val="Heading1"/>
      </w:pPr>
      <w:r>
        <w:rPr>
          <w:color w:val="86A740"/>
          <w:spacing w:val="-2"/>
          <w:w w:val="110"/>
        </w:rPr>
        <w:t>Certifications</w:t>
      </w:r>
    </w:p>
    <w:p>
      <w:pPr>
        <w:spacing w:line="518" w:lineRule="auto" w:before="161"/>
        <w:ind w:left="1652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Project</w:t>
      </w:r>
      <w:r>
        <w:rPr>
          <w:rFonts w:ascii="Arial"/>
          <w:b/>
          <w:spacing w:val="-7"/>
          <w:sz w:val="23"/>
        </w:rPr>
        <w:t> </w:t>
      </w:r>
      <w:r>
        <w:rPr>
          <w:rFonts w:ascii="Arial"/>
          <w:b/>
          <w:sz w:val="23"/>
        </w:rPr>
        <w:t>Management</w:t>
      </w:r>
      <w:r>
        <w:rPr>
          <w:rFonts w:ascii="Arial"/>
          <w:b/>
          <w:spacing w:val="-7"/>
          <w:sz w:val="23"/>
        </w:rPr>
        <w:t> </w:t>
      </w:r>
      <w:r>
        <w:rPr>
          <w:rFonts w:ascii="Arial"/>
          <w:b/>
          <w:sz w:val="23"/>
        </w:rPr>
        <w:t>Professional</w:t>
      </w:r>
      <w:r>
        <w:rPr>
          <w:rFonts w:ascii="Arial"/>
          <w:b/>
          <w:spacing w:val="-7"/>
          <w:sz w:val="23"/>
        </w:rPr>
        <w:t> </w:t>
      </w:r>
      <w:r>
        <w:rPr>
          <w:rFonts w:ascii="Arial"/>
          <w:b/>
          <w:sz w:val="23"/>
        </w:rPr>
        <w:t>(PMP)</w:t>
      </w:r>
      <w:r>
        <w:rPr>
          <w:rFonts w:ascii="Arial"/>
          <w:b/>
          <w:spacing w:val="-7"/>
          <w:sz w:val="23"/>
        </w:rPr>
        <w:t> </w:t>
      </w:r>
      <w:r>
        <w:rPr>
          <w:rFonts w:ascii="Arial"/>
          <w:b/>
          <w:sz w:val="23"/>
        </w:rPr>
        <w:t>|</w:t>
      </w:r>
      <w:r>
        <w:rPr>
          <w:rFonts w:ascii="Arial"/>
          <w:b/>
          <w:spacing w:val="-7"/>
          <w:sz w:val="23"/>
        </w:rPr>
        <w:t> </w:t>
      </w:r>
      <w:r>
        <w:rPr>
          <w:rFonts w:ascii="Arial"/>
          <w:b/>
          <w:sz w:val="23"/>
        </w:rPr>
        <w:t>2021 Certified ScrumMaster (CSM) | 2022</w:t>
      </w:r>
    </w:p>
    <w:sectPr>
      <w:type w:val="continuous"/>
      <w:pgSz w:w="11920" w:h="16860"/>
      <w:pgMar w:top="0" w:bottom="0" w:left="120" w:right="140"/>
      <w:cols w:num="2" w:equalWidth="0">
        <w:col w:w="2189" w:space="1884"/>
        <w:col w:w="75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8" w:line="248" w:lineRule="exact"/>
      <w:ind w:left="108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996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ris.jackson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2025-08-28T13:27:24Z</dcterms:created>
  <dcterms:modified xsi:type="dcterms:W3CDTF">2025-08-28T13:27:24Z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